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59DA" w:rsidRPr="00526C2A" w:rsidRDefault="00CF59DA" w:rsidP="00526C2A">
      <w:pPr>
        <w:spacing w:line="480" w:lineRule="auto"/>
        <w:rPr>
          <w:rFonts w:ascii="Times New Roman" w:eastAsia="Times New Roman" w:hAnsi="Times New Roman" w:cs="Times New Roman"/>
          <w:spacing w:val="-2"/>
          <w:sz w:val="24"/>
          <w:szCs w:val="24"/>
        </w:rPr>
      </w:pPr>
    </w:p>
    <w:p w:rsidR="00CF59DA" w:rsidRPr="00526C2A" w:rsidRDefault="00CF59DA" w:rsidP="00526C2A">
      <w:pPr>
        <w:spacing w:line="480" w:lineRule="auto"/>
        <w:rPr>
          <w:rFonts w:ascii="Times New Roman" w:eastAsia="Times New Roman" w:hAnsi="Times New Roman" w:cs="Times New Roman"/>
          <w:spacing w:val="-2"/>
          <w:sz w:val="24"/>
          <w:szCs w:val="24"/>
        </w:rPr>
      </w:pPr>
    </w:p>
    <w:p w:rsidR="00CF59DA" w:rsidRPr="00526C2A" w:rsidRDefault="00CF59DA" w:rsidP="00526C2A">
      <w:pPr>
        <w:spacing w:line="480" w:lineRule="auto"/>
        <w:rPr>
          <w:rFonts w:ascii="Times New Roman" w:eastAsia="Times New Roman" w:hAnsi="Times New Roman" w:cs="Times New Roman"/>
          <w:spacing w:val="-2"/>
          <w:sz w:val="24"/>
          <w:szCs w:val="24"/>
        </w:rPr>
      </w:pPr>
    </w:p>
    <w:p w:rsidR="00CF59DA" w:rsidRPr="00526C2A" w:rsidRDefault="00CF59DA" w:rsidP="00526C2A">
      <w:pPr>
        <w:spacing w:line="480" w:lineRule="auto"/>
        <w:rPr>
          <w:rFonts w:ascii="Times New Roman" w:eastAsia="Times New Roman" w:hAnsi="Times New Roman" w:cs="Times New Roman"/>
          <w:spacing w:val="-2"/>
          <w:sz w:val="24"/>
          <w:szCs w:val="24"/>
        </w:rPr>
      </w:pPr>
    </w:p>
    <w:p w:rsidR="00CF59DA" w:rsidRPr="00526C2A" w:rsidRDefault="00CF59DA" w:rsidP="00526C2A">
      <w:pPr>
        <w:spacing w:line="480" w:lineRule="auto"/>
        <w:rPr>
          <w:rFonts w:ascii="Times New Roman" w:eastAsia="Times New Roman" w:hAnsi="Times New Roman" w:cs="Times New Roman"/>
          <w:spacing w:val="-2"/>
          <w:sz w:val="24"/>
          <w:szCs w:val="24"/>
        </w:rPr>
      </w:pPr>
    </w:p>
    <w:p w:rsidR="00CF59DA" w:rsidRPr="00526C2A" w:rsidRDefault="00CF59DA" w:rsidP="00526C2A">
      <w:pPr>
        <w:spacing w:line="480" w:lineRule="auto"/>
        <w:jc w:val="center"/>
        <w:rPr>
          <w:rFonts w:ascii="Times New Roman" w:hAnsi="Times New Roman" w:cs="Times New Roman"/>
          <w:sz w:val="24"/>
          <w:szCs w:val="24"/>
        </w:rPr>
      </w:pPr>
      <w:r w:rsidRPr="00526C2A">
        <w:rPr>
          <w:rFonts w:ascii="Times New Roman" w:hAnsi="Times New Roman" w:cs="Times New Roman"/>
          <w:sz w:val="24"/>
          <w:szCs w:val="24"/>
        </w:rPr>
        <w:t>The California Environ</w:t>
      </w:r>
      <w:r w:rsidR="00526C2A" w:rsidRPr="00526C2A">
        <w:rPr>
          <w:rFonts w:ascii="Times New Roman" w:hAnsi="Times New Roman" w:cs="Times New Roman"/>
          <w:sz w:val="24"/>
          <w:szCs w:val="24"/>
        </w:rPr>
        <w:t>m</w:t>
      </w:r>
      <w:r w:rsidRPr="00526C2A">
        <w:rPr>
          <w:rFonts w:ascii="Times New Roman" w:hAnsi="Times New Roman" w:cs="Times New Roman"/>
          <w:sz w:val="24"/>
          <w:szCs w:val="24"/>
        </w:rPr>
        <w:t>ental Quality Act</w:t>
      </w:r>
    </w:p>
    <w:p w:rsidR="00CF59DA" w:rsidRPr="00526C2A" w:rsidRDefault="00CF59DA" w:rsidP="00526C2A">
      <w:pPr>
        <w:spacing w:line="480" w:lineRule="auto"/>
        <w:jc w:val="center"/>
        <w:rPr>
          <w:rFonts w:ascii="Times New Roman" w:hAnsi="Times New Roman" w:cs="Times New Roman"/>
          <w:sz w:val="24"/>
          <w:szCs w:val="24"/>
        </w:rPr>
      </w:pPr>
      <w:r w:rsidRPr="00526C2A">
        <w:rPr>
          <w:rFonts w:ascii="Times New Roman" w:hAnsi="Times New Roman" w:cs="Times New Roman"/>
          <w:sz w:val="24"/>
          <w:szCs w:val="24"/>
        </w:rPr>
        <w:t>Name of Student</w:t>
      </w:r>
    </w:p>
    <w:p w:rsidR="00CF59DA" w:rsidRPr="00526C2A" w:rsidRDefault="00CF59DA" w:rsidP="00526C2A">
      <w:pPr>
        <w:spacing w:line="480" w:lineRule="auto"/>
        <w:jc w:val="center"/>
        <w:rPr>
          <w:rFonts w:ascii="Times New Roman" w:hAnsi="Times New Roman" w:cs="Times New Roman"/>
          <w:sz w:val="24"/>
          <w:szCs w:val="24"/>
        </w:rPr>
      </w:pPr>
      <w:r w:rsidRPr="00526C2A">
        <w:rPr>
          <w:rFonts w:ascii="Times New Roman" w:hAnsi="Times New Roman" w:cs="Times New Roman"/>
          <w:sz w:val="24"/>
          <w:szCs w:val="24"/>
        </w:rPr>
        <w:t>Name of Institution</w:t>
      </w:r>
    </w:p>
    <w:p w:rsidR="00CF59DA" w:rsidRPr="00526C2A" w:rsidRDefault="00CF59DA" w:rsidP="00526C2A">
      <w:pPr>
        <w:spacing w:line="480" w:lineRule="auto"/>
        <w:jc w:val="center"/>
        <w:rPr>
          <w:rFonts w:ascii="Times New Roman" w:eastAsia="Times New Roman" w:hAnsi="Times New Roman" w:cs="Times New Roman"/>
          <w:spacing w:val="-2"/>
          <w:sz w:val="24"/>
          <w:szCs w:val="24"/>
        </w:rPr>
      </w:pPr>
      <w:r w:rsidRPr="00526C2A">
        <w:rPr>
          <w:rFonts w:ascii="Times New Roman" w:hAnsi="Times New Roman" w:cs="Times New Roman"/>
          <w:sz w:val="24"/>
          <w:szCs w:val="24"/>
        </w:rPr>
        <w:t>Date</w:t>
      </w:r>
      <w:r w:rsidRPr="00526C2A">
        <w:rPr>
          <w:rFonts w:ascii="Times New Roman" w:eastAsia="Times New Roman" w:hAnsi="Times New Roman" w:cs="Times New Roman"/>
          <w:spacing w:val="-2"/>
          <w:sz w:val="24"/>
          <w:szCs w:val="24"/>
        </w:rPr>
        <w:t xml:space="preserve"> </w:t>
      </w:r>
      <w:r w:rsidRPr="00526C2A">
        <w:rPr>
          <w:rFonts w:ascii="Times New Roman" w:eastAsia="Times New Roman" w:hAnsi="Times New Roman" w:cs="Times New Roman"/>
          <w:spacing w:val="-2"/>
          <w:sz w:val="24"/>
          <w:szCs w:val="24"/>
        </w:rPr>
        <w:br w:type="page"/>
      </w:r>
    </w:p>
    <w:p w:rsidR="00BF3C58" w:rsidRPr="00526C2A" w:rsidRDefault="00BF3C58" w:rsidP="00526C2A">
      <w:pPr>
        <w:shd w:val="clear" w:color="auto" w:fill="FFFFFF"/>
        <w:spacing w:after="0" w:line="480" w:lineRule="auto"/>
        <w:ind w:firstLine="720"/>
        <w:rPr>
          <w:rFonts w:ascii="Times New Roman" w:eastAsia="Times New Roman" w:hAnsi="Times New Roman" w:cs="Times New Roman"/>
          <w:spacing w:val="-2"/>
          <w:sz w:val="24"/>
          <w:szCs w:val="24"/>
        </w:rPr>
      </w:pPr>
      <w:r w:rsidRPr="00526C2A">
        <w:rPr>
          <w:rFonts w:ascii="Times New Roman" w:eastAsia="Times New Roman" w:hAnsi="Times New Roman" w:cs="Times New Roman"/>
          <w:spacing w:val="-2"/>
          <w:sz w:val="24"/>
          <w:szCs w:val="24"/>
        </w:rPr>
        <w:lastRenderedPageBreak/>
        <w:t>The California Environmental Quality Act (CEQA</w:t>
      </w:r>
      <w:r w:rsidR="00CF59DA" w:rsidRPr="00526C2A">
        <w:rPr>
          <w:rFonts w:ascii="Times New Roman" w:eastAsia="Times New Roman" w:hAnsi="Times New Roman" w:cs="Times New Roman"/>
          <w:spacing w:val="-2"/>
          <w:sz w:val="24"/>
          <w:szCs w:val="24"/>
        </w:rPr>
        <w:t>)</w:t>
      </w:r>
      <w:r w:rsidRPr="00526C2A">
        <w:rPr>
          <w:rFonts w:ascii="Times New Roman" w:eastAsia="Times New Roman" w:hAnsi="Times New Roman" w:cs="Times New Roman"/>
          <w:spacing w:val="-2"/>
          <w:sz w:val="24"/>
          <w:szCs w:val="24"/>
        </w:rPr>
        <w:t xml:space="preserve"> defines a statutory requirement that dictates feasible reasoning in the identification and mitigation of environmental impacts of actions by the local and state agencies. Conception of the impetus of CEQA is derived from the National Environmental Policy Act (NEPA) in 1969. A year later, the intention of creating the Assembly Select Committee on the Environmental Quality by the California State Assembly was to implement the policies in NEPA as state law. They developed The Environmental Bill of Rights for California, which passed the legislature, and President Ronald Reagan signed it as the CEQA statute. CEQA defines a project as </w:t>
      </w:r>
      <w:r w:rsidR="0033131C" w:rsidRPr="00526C2A">
        <w:rPr>
          <w:rFonts w:ascii="Times New Roman" w:eastAsia="Times New Roman" w:hAnsi="Times New Roman" w:cs="Times New Roman"/>
          <w:spacing w:val="-2"/>
          <w:sz w:val="24"/>
          <w:szCs w:val="24"/>
        </w:rPr>
        <w:t xml:space="preserve">either a private activity, or one undertaken by a public agency that requires discretionary approval from the government and has a direct visible or a reasonably foreseeable impact on the environment. The projects are subjects to the provisions under CEQA, unless exemption applies </w:t>
      </w:r>
      <w:sdt>
        <w:sdtPr>
          <w:rPr>
            <w:rFonts w:ascii="Times New Roman" w:eastAsia="Times New Roman" w:hAnsi="Times New Roman" w:cs="Times New Roman"/>
            <w:spacing w:val="-2"/>
            <w:sz w:val="24"/>
            <w:szCs w:val="24"/>
          </w:rPr>
          <w:id w:val="1558389141"/>
          <w:citation/>
        </w:sdtPr>
        <w:sdtContent>
          <w:r w:rsidR="0033131C" w:rsidRPr="00526C2A">
            <w:rPr>
              <w:rFonts w:ascii="Times New Roman" w:eastAsia="Times New Roman" w:hAnsi="Times New Roman" w:cs="Times New Roman"/>
              <w:spacing w:val="-2"/>
              <w:sz w:val="24"/>
              <w:szCs w:val="24"/>
            </w:rPr>
            <w:fldChar w:fldCharType="begin"/>
          </w:r>
          <w:r w:rsidR="0033131C" w:rsidRPr="00526C2A">
            <w:rPr>
              <w:rFonts w:ascii="Times New Roman" w:eastAsia="Times New Roman" w:hAnsi="Times New Roman" w:cs="Times New Roman"/>
              <w:spacing w:val="-2"/>
              <w:sz w:val="24"/>
              <w:szCs w:val="24"/>
            </w:rPr>
            <w:instrText xml:space="preserve"> CITATION Car19 \l 1033 </w:instrText>
          </w:r>
          <w:r w:rsidR="0033131C" w:rsidRPr="00526C2A">
            <w:rPr>
              <w:rFonts w:ascii="Times New Roman" w:eastAsia="Times New Roman" w:hAnsi="Times New Roman" w:cs="Times New Roman"/>
              <w:spacing w:val="-2"/>
              <w:sz w:val="24"/>
              <w:szCs w:val="24"/>
            </w:rPr>
            <w:fldChar w:fldCharType="separate"/>
          </w:r>
          <w:r w:rsidR="0033131C" w:rsidRPr="00526C2A">
            <w:rPr>
              <w:rFonts w:ascii="Times New Roman" w:eastAsia="Times New Roman" w:hAnsi="Times New Roman" w:cs="Times New Roman"/>
              <w:noProof/>
              <w:spacing w:val="-2"/>
              <w:sz w:val="24"/>
              <w:szCs w:val="24"/>
            </w:rPr>
            <w:t>(Carlifornia Natural Resources Agency)</w:t>
          </w:r>
          <w:r w:rsidR="0033131C" w:rsidRPr="00526C2A">
            <w:rPr>
              <w:rFonts w:ascii="Times New Roman" w:eastAsia="Times New Roman" w:hAnsi="Times New Roman" w:cs="Times New Roman"/>
              <w:spacing w:val="-2"/>
              <w:sz w:val="24"/>
              <w:szCs w:val="24"/>
            </w:rPr>
            <w:fldChar w:fldCharType="end"/>
          </w:r>
        </w:sdtContent>
      </w:sdt>
      <w:r w:rsidR="0033131C" w:rsidRPr="00526C2A">
        <w:rPr>
          <w:rFonts w:ascii="Times New Roman" w:eastAsia="Times New Roman" w:hAnsi="Times New Roman" w:cs="Times New Roman"/>
          <w:spacing w:val="-2"/>
          <w:sz w:val="24"/>
          <w:szCs w:val="24"/>
        </w:rPr>
        <w:t>. CEQA imposes substantive and procedural requirements, which requires establishment of environmental impacts prior to commencement of project. The potential effects may warrant more substantial review in the form of Environmental Impact Report</w:t>
      </w:r>
      <w:r w:rsidR="00CD550B" w:rsidRPr="00526C2A">
        <w:rPr>
          <w:rFonts w:ascii="Times New Roman" w:eastAsia="Times New Roman" w:hAnsi="Times New Roman" w:cs="Times New Roman"/>
          <w:spacing w:val="-2"/>
          <w:sz w:val="24"/>
          <w:szCs w:val="24"/>
        </w:rPr>
        <w:t xml:space="preserve"> </w:t>
      </w:r>
      <w:sdt>
        <w:sdtPr>
          <w:rPr>
            <w:rFonts w:ascii="Times New Roman" w:eastAsia="Times New Roman" w:hAnsi="Times New Roman" w:cs="Times New Roman"/>
            <w:spacing w:val="-2"/>
            <w:sz w:val="24"/>
            <w:szCs w:val="24"/>
          </w:rPr>
          <w:id w:val="1558389144"/>
          <w:citation/>
        </w:sdtPr>
        <w:sdtContent>
          <w:r w:rsidR="00CD550B" w:rsidRPr="00526C2A">
            <w:rPr>
              <w:rFonts w:ascii="Times New Roman" w:eastAsia="Times New Roman" w:hAnsi="Times New Roman" w:cs="Times New Roman"/>
              <w:spacing w:val="-2"/>
              <w:sz w:val="24"/>
              <w:szCs w:val="24"/>
            </w:rPr>
            <w:fldChar w:fldCharType="begin"/>
          </w:r>
          <w:r w:rsidR="00CD550B" w:rsidRPr="00526C2A">
            <w:rPr>
              <w:rFonts w:ascii="Times New Roman" w:eastAsia="Times New Roman" w:hAnsi="Times New Roman" w:cs="Times New Roman"/>
              <w:spacing w:val="-2"/>
              <w:sz w:val="24"/>
              <w:szCs w:val="24"/>
            </w:rPr>
            <w:instrText xml:space="preserve"> CITATION Vol19 \l 1033 </w:instrText>
          </w:r>
          <w:r w:rsidR="00CD550B" w:rsidRPr="00526C2A">
            <w:rPr>
              <w:rFonts w:ascii="Times New Roman" w:eastAsia="Times New Roman" w:hAnsi="Times New Roman" w:cs="Times New Roman"/>
              <w:spacing w:val="-2"/>
              <w:sz w:val="24"/>
              <w:szCs w:val="24"/>
            </w:rPr>
            <w:fldChar w:fldCharType="separate"/>
          </w:r>
          <w:r w:rsidR="00CD550B" w:rsidRPr="00526C2A">
            <w:rPr>
              <w:rFonts w:ascii="Times New Roman" w:eastAsia="Times New Roman" w:hAnsi="Times New Roman" w:cs="Times New Roman"/>
              <w:noProof/>
              <w:spacing w:val="-2"/>
              <w:sz w:val="24"/>
              <w:szCs w:val="24"/>
            </w:rPr>
            <w:t>(Volker, Lee, &amp; Fitch, 2019)</w:t>
          </w:r>
          <w:r w:rsidR="00CD550B" w:rsidRPr="00526C2A">
            <w:rPr>
              <w:rFonts w:ascii="Times New Roman" w:eastAsia="Times New Roman" w:hAnsi="Times New Roman" w:cs="Times New Roman"/>
              <w:spacing w:val="-2"/>
              <w:sz w:val="24"/>
              <w:szCs w:val="24"/>
            </w:rPr>
            <w:fldChar w:fldCharType="end"/>
          </w:r>
        </w:sdtContent>
      </w:sdt>
      <w:r w:rsidR="0033131C" w:rsidRPr="00526C2A">
        <w:rPr>
          <w:rFonts w:ascii="Times New Roman" w:eastAsia="Times New Roman" w:hAnsi="Times New Roman" w:cs="Times New Roman"/>
          <w:spacing w:val="-2"/>
          <w:sz w:val="24"/>
          <w:szCs w:val="24"/>
        </w:rPr>
        <w:t xml:space="preserve">. In the case that mitigation measures or feasible alternatives may significantly lessen the impacts of the project to the environment, CEQA statute favors not approving the project. </w:t>
      </w:r>
      <w:r w:rsidR="004E2E05" w:rsidRPr="00526C2A">
        <w:rPr>
          <w:rFonts w:ascii="Times New Roman" w:eastAsia="Times New Roman" w:hAnsi="Times New Roman" w:cs="Times New Roman"/>
          <w:spacing w:val="-2"/>
          <w:sz w:val="24"/>
          <w:szCs w:val="24"/>
        </w:rPr>
        <w:t>In the event the government agency approves a project without proper review process, CEQA allows for the public to sue.</w:t>
      </w:r>
    </w:p>
    <w:p w:rsidR="0033131C" w:rsidRPr="00526C2A" w:rsidRDefault="004E2E05" w:rsidP="00526C2A">
      <w:pPr>
        <w:shd w:val="clear" w:color="auto" w:fill="FFFFFF"/>
        <w:spacing w:after="0" w:line="480" w:lineRule="auto"/>
        <w:ind w:firstLine="720"/>
        <w:rPr>
          <w:rFonts w:ascii="Times New Roman" w:eastAsia="Times New Roman" w:hAnsi="Times New Roman" w:cs="Times New Roman"/>
          <w:spacing w:val="-2"/>
          <w:sz w:val="24"/>
          <w:szCs w:val="24"/>
        </w:rPr>
      </w:pPr>
      <w:r w:rsidRPr="00526C2A">
        <w:rPr>
          <w:rFonts w:ascii="Times New Roman" w:eastAsia="Times New Roman" w:hAnsi="Times New Roman" w:cs="Times New Roman"/>
          <w:spacing w:val="-2"/>
          <w:sz w:val="24"/>
          <w:szCs w:val="24"/>
        </w:rPr>
        <w:t xml:space="preserve">On the local level, the statue allows for the community to assess the quality of life against developments, and also blockage or derailment of projects with legal challenges. Examples of the latter effect include the Millennium Hollywood development, Hollywood Target, and the Reef </w:t>
      </w:r>
      <w:sdt>
        <w:sdtPr>
          <w:rPr>
            <w:rFonts w:ascii="Times New Roman" w:eastAsia="Times New Roman" w:hAnsi="Times New Roman" w:cs="Times New Roman"/>
            <w:spacing w:val="-2"/>
            <w:sz w:val="24"/>
            <w:szCs w:val="24"/>
          </w:rPr>
          <w:id w:val="1558389142"/>
          <w:citation/>
        </w:sdtPr>
        <w:sdtContent>
          <w:r w:rsidRPr="00526C2A">
            <w:rPr>
              <w:rFonts w:ascii="Times New Roman" w:eastAsia="Times New Roman" w:hAnsi="Times New Roman" w:cs="Times New Roman"/>
              <w:spacing w:val="-2"/>
              <w:sz w:val="24"/>
              <w:szCs w:val="24"/>
            </w:rPr>
            <w:fldChar w:fldCharType="begin"/>
          </w:r>
          <w:r w:rsidRPr="00526C2A">
            <w:rPr>
              <w:rFonts w:ascii="Times New Roman" w:eastAsia="Times New Roman" w:hAnsi="Times New Roman" w:cs="Times New Roman"/>
              <w:spacing w:val="-2"/>
              <w:sz w:val="24"/>
              <w:szCs w:val="24"/>
            </w:rPr>
            <w:instrText xml:space="preserve"> CITATION Chi18 \l 1033 </w:instrText>
          </w:r>
          <w:r w:rsidRPr="00526C2A">
            <w:rPr>
              <w:rFonts w:ascii="Times New Roman" w:eastAsia="Times New Roman" w:hAnsi="Times New Roman" w:cs="Times New Roman"/>
              <w:spacing w:val="-2"/>
              <w:sz w:val="24"/>
              <w:szCs w:val="24"/>
            </w:rPr>
            <w:fldChar w:fldCharType="separate"/>
          </w:r>
          <w:r w:rsidRPr="00526C2A">
            <w:rPr>
              <w:rFonts w:ascii="Times New Roman" w:eastAsia="Times New Roman" w:hAnsi="Times New Roman" w:cs="Times New Roman"/>
              <w:noProof/>
              <w:spacing w:val="-2"/>
              <w:sz w:val="24"/>
              <w:szCs w:val="24"/>
            </w:rPr>
            <w:t>(Chiland &amp; Kudler, 2018)</w:t>
          </w:r>
          <w:r w:rsidRPr="00526C2A">
            <w:rPr>
              <w:rFonts w:ascii="Times New Roman" w:eastAsia="Times New Roman" w:hAnsi="Times New Roman" w:cs="Times New Roman"/>
              <w:spacing w:val="-2"/>
              <w:sz w:val="24"/>
              <w:szCs w:val="24"/>
            </w:rPr>
            <w:fldChar w:fldCharType="end"/>
          </w:r>
        </w:sdtContent>
      </w:sdt>
      <w:r w:rsidRPr="00526C2A">
        <w:rPr>
          <w:rFonts w:ascii="Times New Roman" w:eastAsia="Times New Roman" w:hAnsi="Times New Roman" w:cs="Times New Roman"/>
          <w:spacing w:val="-2"/>
          <w:sz w:val="24"/>
          <w:szCs w:val="24"/>
        </w:rPr>
        <w:t xml:space="preserve">.  Through CEQA based litigations, the rate of construction of housing projects has slowed, while the cost of buying a home and rental prices have soared. On the other hand, there is a remarkable improvement in the quality of air. The Los Angeles median price for a </w:t>
      </w:r>
      <w:r w:rsidRPr="00526C2A">
        <w:rPr>
          <w:rFonts w:ascii="Times New Roman" w:eastAsia="Times New Roman" w:hAnsi="Times New Roman" w:cs="Times New Roman"/>
          <w:spacing w:val="-2"/>
          <w:sz w:val="24"/>
          <w:szCs w:val="24"/>
        </w:rPr>
        <w:lastRenderedPageBreak/>
        <w:t xml:space="preserve">single family house requires earning of about six figures going at $575,000. </w:t>
      </w:r>
      <w:r w:rsidR="00CD550B" w:rsidRPr="00526C2A">
        <w:rPr>
          <w:rFonts w:ascii="Times New Roman" w:eastAsia="Times New Roman" w:hAnsi="Times New Roman" w:cs="Times New Roman"/>
          <w:spacing w:val="-2"/>
          <w:sz w:val="24"/>
          <w:szCs w:val="24"/>
        </w:rPr>
        <w:t xml:space="preserve">A lawyer, Jennifer L. Hernandez, practicing at Holland &amp; Knight attributes blame of the situation to CEQA </w:t>
      </w:r>
      <w:sdt>
        <w:sdtPr>
          <w:rPr>
            <w:rFonts w:ascii="Times New Roman" w:eastAsia="Times New Roman" w:hAnsi="Times New Roman" w:cs="Times New Roman"/>
            <w:spacing w:val="-2"/>
            <w:sz w:val="24"/>
            <w:szCs w:val="24"/>
          </w:rPr>
          <w:id w:val="1558389143"/>
          <w:citation/>
        </w:sdtPr>
        <w:sdtContent>
          <w:r w:rsidR="00CD550B" w:rsidRPr="00526C2A">
            <w:rPr>
              <w:rFonts w:ascii="Times New Roman" w:eastAsia="Times New Roman" w:hAnsi="Times New Roman" w:cs="Times New Roman"/>
              <w:spacing w:val="-2"/>
              <w:sz w:val="24"/>
              <w:szCs w:val="24"/>
            </w:rPr>
            <w:fldChar w:fldCharType="begin"/>
          </w:r>
          <w:r w:rsidR="00CD550B" w:rsidRPr="00526C2A">
            <w:rPr>
              <w:rFonts w:ascii="Times New Roman" w:eastAsia="Times New Roman" w:hAnsi="Times New Roman" w:cs="Times New Roman"/>
              <w:spacing w:val="-2"/>
              <w:sz w:val="24"/>
              <w:szCs w:val="24"/>
            </w:rPr>
            <w:instrText xml:space="preserve"> CITATION Her19 \l 1033 </w:instrText>
          </w:r>
          <w:r w:rsidR="00CD550B" w:rsidRPr="00526C2A">
            <w:rPr>
              <w:rFonts w:ascii="Times New Roman" w:eastAsia="Times New Roman" w:hAnsi="Times New Roman" w:cs="Times New Roman"/>
              <w:spacing w:val="-2"/>
              <w:sz w:val="24"/>
              <w:szCs w:val="24"/>
            </w:rPr>
            <w:fldChar w:fldCharType="separate"/>
          </w:r>
          <w:r w:rsidR="00CD550B" w:rsidRPr="00526C2A">
            <w:rPr>
              <w:rFonts w:ascii="Times New Roman" w:eastAsia="Times New Roman" w:hAnsi="Times New Roman" w:cs="Times New Roman"/>
              <w:noProof/>
              <w:spacing w:val="-2"/>
              <w:sz w:val="24"/>
              <w:szCs w:val="24"/>
            </w:rPr>
            <w:t>(Hernandez, 2019)</w:t>
          </w:r>
          <w:r w:rsidR="00CD550B" w:rsidRPr="00526C2A">
            <w:rPr>
              <w:rFonts w:ascii="Times New Roman" w:eastAsia="Times New Roman" w:hAnsi="Times New Roman" w:cs="Times New Roman"/>
              <w:spacing w:val="-2"/>
              <w:sz w:val="24"/>
              <w:szCs w:val="24"/>
            </w:rPr>
            <w:fldChar w:fldCharType="end"/>
          </w:r>
        </w:sdtContent>
      </w:sdt>
      <w:r w:rsidR="00CD550B" w:rsidRPr="00526C2A">
        <w:rPr>
          <w:rFonts w:ascii="Times New Roman" w:eastAsia="Times New Roman" w:hAnsi="Times New Roman" w:cs="Times New Roman"/>
          <w:spacing w:val="-2"/>
          <w:sz w:val="24"/>
          <w:szCs w:val="24"/>
        </w:rPr>
        <w:t xml:space="preserve">. Though the CEQA statute dictates evaluation of environmental impacts and provides feasible mitigation measures for the impacts, but fails at the description at what constitutes an environmental impact. The ambiguity associated with the term results in judicial cases under any and all claims which stunts development. </w:t>
      </w:r>
    </w:p>
    <w:p w:rsidR="00E86F00" w:rsidRPr="00526C2A" w:rsidRDefault="001E4321" w:rsidP="00526C2A">
      <w:pPr>
        <w:shd w:val="clear" w:color="auto" w:fill="FFFFFF"/>
        <w:spacing w:after="0" w:line="480" w:lineRule="auto"/>
        <w:ind w:firstLine="720"/>
        <w:rPr>
          <w:rFonts w:ascii="Times New Roman" w:eastAsia="Times New Roman" w:hAnsi="Times New Roman" w:cs="Times New Roman"/>
          <w:spacing w:val="-2"/>
          <w:sz w:val="24"/>
          <w:szCs w:val="24"/>
        </w:rPr>
      </w:pPr>
      <w:r w:rsidRPr="001E4321">
        <w:rPr>
          <w:rFonts w:ascii="Times New Roman" w:eastAsia="Times New Roman" w:hAnsi="Times New Roman" w:cs="Times New Roman"/>
          <w:spacing w:val="-2"/>
          <w:sz w:val="24"/>
          <w:szCs w:val="24"/>
        </w:rPr>
        <w:t>The</w:t>
      </w:r>
      <w:r w:rsidR="006A4830" w:rsidRPr="00526C2A">
        <w:rPr>
          <w:rFonts w:ascii="Times New Roman" w:eastAsia="Times New Roman" w:hAnsi="Times New Roman" w:cs="Times New Roman"/>
          <w:spacing w:val="-2"/>
          <w:sz w:val="24"/>
          <w:szCs w:val="24"/>
        </w:rPr>
        <w:t>re is a possibility that the</w:t>
      </w:r>
      <w:r w:rsidRPr="001E4321">
        <w:rPr>
          <w:rFonts w:ascii="Times New Roman" w:eastAsia="Times New Roman" w:hAnsi="Times New Roman" w:cs="Times New Roman"/>
          <w:spacing w:val="-2"/>
          <w:sz w:val="24"/>
          <w:szCs w:val="24"/>
        </w:rPr>
        <w:t xml:space="preserve"> Drought Executive Order </w:t>
      </w:r>
      <w:r w:rsidR="00BF3C58" w:rsidRPr="00526C2A">
        <w:rPr>
          <w:rFonts w:ascii="Times New Roman" w:eastAsia="Times New Roman" w:hAnsi="Times New Roman" w:cs="Times New Roman"/>
          <w:spacing w:val="-2"/>
          <w:sz w:val="24"/>
          <w:szCs w:val="24"/>
        </w:rPr>
        <w:t xml:space="preserve">of </w:t>
      </w:r>
      <w:r w:rsidRPr="001E4321">
        <w:rPr>
          <w:rFonts w:ascii="Times New Roman" w:eastAsia="Times New Roman" w:hAnsi="Times New Roman" w:cs="Times New Roman"/>
          <w:spacing w:val="-2"/>
          <w:sz w:val="24"/>
          <w:szCs w:val="24"/>
        </w:rPr>
        <w:t>2016</w:t>
      </w:r>
      <w:r w:rsidR="00BF3C58" w:rsidRPr="00526C2A">
        <w:rPr>
          <w:rFonts w:ascii="Times New Roman" w:eastAsia="Times New Roman" w:hAnsi="Times New Roman" w:cs="Times New Roman"/>
          <w:spacing w:val="-2"/>
          <w:sz w:val="24"/>
          <w:szCs w:val="24"/>
        </w:rPr>
        <w:t>, B-37-16 (05/09/16),</w:t>
      </w:r>
      <w:r w:rsidRPr="001E4321">
        <w:rPr>
          <w:rFonts w:ascii="Times New Roman" w:eastAsia="Times New Roman" w:hAnsi="Times New Roman" w:cs="Times New Roman"/>
          <w:spacing w:val="-2"/>
          <w:sz w:val="24"/>
          <w:szCs w:val="24"/>
        </w:rPr>
        <w:t xml:space="preserve"> could negative</w:t>
      </w:r>
      <w:r w:rsidR="006A4830" w:rsidRPr="00526C2A">
        <w:rPr>
          <w:rFonts w:ascii="Times New Roman" w:eastAsia="Times New Roman" w:hAnsi="Times New Roman" w:cs="Times New Roman"/>
          <w:spacing w:val="-2"/>
          <w:sz w:val="24"/>
          <w:szCs w:val="24"/>
        </w:rPr>
        <w:t>ly</w:t>
      </w:r>
      <w:r w:rsidRPr="001E4321">
        <w:rPr>
          <w:rFonts w:ascii="Times New Roman" w:eastAsia="Times New Roman" w:hAnsi="Times New Roman" w:cs="Times New Roman"/>
          <w:spacing w:val="-2"/>
          <w:sz w:val="24"/>
          <w:szCs w:val="24"/>
        </w:rPr>
        <w:t xml:space="preserve"> </w:t>
      </w:r>
      <w:r w:rsidR="006A4830" w:rsidRPr="00526C2A">
        <w:rPr>
          <w:rFonts w:ascii="Times New Roman" w:eastAsia="Times New Roman" w:hAnsi="Times New Roman" w:cs="Times New Roman"/>
          <w:spacing w:val="-2"/>
          <w:sz w:val="24"/>
          <w:szCs w:val="24"/>
        </w:rPr>
        <w:t xml:space="preserve">influence the economy and </w:t>
      </w:r>
      <w:r w:rsidRPr="001E4321">
        <w:rPr>
          <w:rFonts w:ascii="Times New Roman" w:eastAsia="Times New Roman" w:hAnsi="Times New Roman" w:cs="Times New Roman"/>
          <w:spacing w:val="-2"/>
          <w:sz w:val="24"/>
          <w:szCs w:val="24"/>
        </w:rPr>
        <w:t xml:space="preserve">the people. </w:t>
      </w:r>
      <w:r w:rsidR="006A4830" w:rsidRPr="00526C2A">
        <w:rPr>
          <w:rFonts w:ascii="Times New Roman" w:eastAsia="Times New Roman" w:hAnsi="Times New Roman" w:cs="Times New Roman"/>
          <w:spacing w:val="-2"/>
          <w:sz w:val="24"/>
          <w:szCs w:val="24"/>
        </w:rPr>
        <w:t xml:space="preserve">The </w:t>
      </w:r>
      <w:r w:rsidRPr="001E4321">
        <w:rPr>
          <w:rFonts w:ascii="Times New Roman" w:eastAsia="Times New Roman" w:hAnsi="Times New Roman" w:cs="Times New Roman"/>
          <w:spacing w:val="-2"/>
          <w:sz w:val="24"/>
          <w:szCs w:val="24"/>
        </w:rPr>
        <w:t xml:space="preserve">order may </w:t>
      </w:r>
      <w:r w:rsidR="006A4830" w:rsidRPr="00526C2A">
        <w:rPr>
          <w:rFonts w:ascii="Times New Roman" w:eastAsia="Times New Roman" w:hAnsi="Times New Roman" w:cs="Times New Roman"/>
          <w:spacing w:val="-2"/>
          <w:sz w:val="24"/>
          <w:szCs w:val="24"/>
        </w:rPr>
        <w:t xml:space="preserve">bring about tension </w:t>
      </w:r>
      <w:r w:rsidRPr="001E4321">
        <w:rPr>
          <w:rFonts w:ascii="Times New Roman" w:eastAsia="Times New Roman" w:hAnsi="Times New Roman" w:cs="Times New Roman"/>
          <w:spacing w:val="-2"/>
          <w:sz w:val="24"/>
          <w:szCs w:val="24"/>
        </w:rPr>
        <w:t xml:space="preserve">between </w:t>
      </w:r>
      <w:r w:rsidR="006A4830" w:rsidRPr="00526C2A">
        <w:rPr>
          <w:rFonts w:ascii="Times New Roman" w:eastAsia="Times New Roman" w:hAnsi="Times New Roman" w:cs="Times New Roman"/>
          <w:spacing w:val="-2"/>
          <w:sz w:val="24"/>
          <w:szCs w:val="24"/>
        </w:rPr>
        <w:t xml:space="preserve">those practicing agriculture and </w:t>
      </w:r>
      <w:r w:rsidRPr="001E4321">
        <w:rPr>
          <w:rFonts w:ascii="Times New Roman" w:eastAsia="Times New Roman" w:hAnsi="Times New Roman" w:cs="Times New Roman"/>
          <w:spacing w:val="-2"/>
          <w:sz w:val="24"/>
          <w:szCs w:val="24"/>
        </w:rPr>
        <w:t>the urban residents</w:t>
      </w:r>
      <w:r w:rsidR="006A4830" w:rsidRPr="00526C2A">
        <w:rPr>
          <w:rFonts w:ascii="Times New Roman" w:eastAsia="Times New Roman" w:hAnsi="Times New Roman" w:cs="Times New Roman"/>
          <w:spacing w:val="-2"/>
          <w:sz w:val="24"/>
          <w:szCs w:val="24"/>
        </w:rPr>
        <w:t xml:space="preserve"> </w:t>
      </w:r>
      <w:sdt>
        <w:sdtPr>
          <w:rPr>
            <w:rFonts w:ascii="Times New Roman" w:eastAsia="Times New Roman" w:hAnsi="Times New Roman" w:cs="Times New Roman"/>
            <w:spacing w:val="-2"/>
            <w:sz w:val="24"/>
            <w:szCs w:val="24"/>
          </w:rPr>
          <w:id w:val="1558389145"/>
          <w:citation/>
        </w:sdtPr>
        <w:sdtContent>
          <w:r w:rsidR="006A4830" w:rsidRPr="00526C2A">
            <w:rPr>
              <w:rFonts w:ascii="Times New Roman" w:eastAsia="Times New Roman" w:hAnsi="Times New Roman" w:cs="Times New Roman"/>
              <w:spacing w:val="-2"/>
              <w:sz w:val="24"/>
              <w:szCs w:val="24"/>
            </w:rPr>
            <w:fldChar w:fldCharType="begin"/>
          </w:r>
          <w:r w:rsidR="006A4830" w:rsidRPr="00526C2A">
            <w:rPr>
              <w:rFonts w:ascii="Times New Roman" w:eastAsia="Times New Roman" w:hAnsi="Times New Roman" w:cs="Times New Roman"/>
              <w:spacing w:val="-2"/>
              <w:sz w:val="24"/>
              <w:szCs w:val="24"/>
            </w:rPr>
            <w:instrText xml:space="preserve"> CITATION Nag15 \l 1033 </w:instrText>
          </w:r>
          <w:r w:rsidR="006A4830" w:rsidRPr="00526C2A">
            <w:rPr>
              <w:rFonts w:ascii="Times New Roman" w:eastAsia="Times New Roman" w:hAnsi="Times New Roman" w:cs="Times New Roman"/>
              <w:spacing w:val="-2"/>
              <w:sz w:val="24"/>
              <w:szCs w:val="24"/>
            </w:rPr>
            <w:fldChar w:fldCharType="separate"/>
          </w:r>
          <w:r w:rsidR="006A4830" w:rsidRPr="00526C2A">
            <w:rPr>
              <w:rFonts w:ascii="Times New Roman" w:eastAsia="Times New Roman" w:hAnsi="Times New Roman" w:cs="Times New Roman"/>
              <w:noProof/>
              <w:spacing w:val="-2"/>
              <w:sz w:val="24"/>
              <w:szCs w:val="24"/>
            </w:rPr>
            <w:t>(Nagourney, 2015)</w:t>
          </w:r>
          <w:r w:rsidR="006A4830" w:rsidRPr="00526C2A">
            <w:rPr>
              <w:rFonts w:ascii="Times New Roman" w:eastAsia="Times New Roman" w:hAnsi="Times New Roman" w:cs="Times New Roman"/>
              <w:spacing w:val="-2"/>
              <w:sz w:val="24"/>
              <w:szCs w:val="24"/>
            </w:rPr>
            <w:fldChar w:fldCharType="end"/>
          </w:r>
        </w:sdtContent>
      </w:sdt>
      <w:r w:rsidRPr="001E4321">
        <w:rPr>
          <w:rFonts w:ascii="Times New Roman" w:eastAsia="Times New Roman" w:hAnsi="Times New Roman" w:cs="Times New Roman"/>
          <w:spacing w:val="-2"/>
          <w:sz w:val="24"/>
          <w:szCs w:val="24"/>
        </w:rPr>
        <w:t xml:space="preserve">. The </w:t>
      </w:r>
      <w:r w:rsidR="006A4830" w:rsidRPr="00526C2A">
        <w:rPr>
          <w:rFonts w:ascii="Times New Roman" w:eastAsia="Times New Roman" w:hAnsi="Times New Roman" w:cs="Times New Roman"/>
          <w:spacing w:val="-2"/>
          <w:sz w:val="24"/>
          <w:szCs w:val="24"/>
        </w:rPr>
        <w:t xml:space="preserve">Executive </w:t>
      </w:r>
      <w:r w:rsidRPr="001E4321">
        <w:rPr>
          <w:rFonts w:ascii="Times New Roman" w:eastAsia="Times New Roman" w:hAnsi="Times New Roman" w:cs="Times New Roman"/>
          <w:spacing w:val="-2"/>
          <w:sz w:val="24"/>
          <w:szCs w:val="24"/>
        </w:rPr>
        <w:t xml:space="preserve">Order also </w:t>
      </w:r>
      <w:r w:rsidR="006A4830" w:rsidRPr="00526C2A">
        <w:rPr>
          <w:rFonts w:ascii="Times New Roman" w:eastAsia="Times New Roman" w:hAnsi="Times New Roman" w:cs="Times New Roman"/>
          <w:spacing w:val="-2"/>
          <w:sz w:val="24"/>
          <w:szCs w:val="24"/>
        </w:rPr>
        <w:t xml:space="preserve">has the authority to effectively disavow </w:t>
      </w:r>
      <w:r w:rsidRPr="001E4321">
        <w:rPr>
          <w:rFonts w:ascii="Times New Roman" w:eastAsia="Times New Roman" w:hAnsi="Times New Roman" w:cs="Times New Roman"/>
          <w:spacing w:val="-2"/>
          <w:sz w:val="24"/>
          <w:szCs w:val="24"/>
        </w:rPr>
        <w:t xml:space="preserve">the credibility of California State Laws. </w:t>
      </w:r>
      <w:r w:rsidR="006A4830" w:rsidRPr="00526C2A">
        <w:rPr>
          <w:rFonts w:ascii="Times New Roman" w:eastAsia="Times New Roman" w:hAnsi="Times New Roman" w:cs="Times New Roman"/>
          <w:spacing w:val="-2"/>
          <w:sz w:val="24"/>
          <w:szCs w:val="24"/>
        </w:rPr>
        <w:t xml:space="preserve">The CEQA statute, however, can minimize the impact of the </w:t>
      </w:r>
      <w:r w:rsidRPr="001E4321">
        <w:rPr>
          <w:rFonts w:ascii="Times New Roman" w:eastAsia="Times New Roman" w:hAnsi="Times New Roman" w:cs="Times New Roman"/>
          <w:spacing w:val="-2"/>
          <w:sz w:val="24"/>
          <w:szCs w:val="24"/>
        </w:rPr>
        <w:t xml:space="preserve">executive order. For instance, </w:t>
      </w:r>
      <w:r w:rsidR="006A4830" w:rsidRPr="00526C2A">
        <w:rPr>
          <w:rFonts w:ascii="Times New Roman" w:eastAsia="Times New Roman" w:hAnsi="Times New Roman" w:cs="Times New Roman"/>
          <w:spacing w:val="-2"/>
          <w:sz w:val="24"/>
          <w:szCs w:val="24"/>
        </w:rPr>
        <w:t xml:space="preserve">the statute holds similar initiatives to the order through policies that reduce the destructive impacts to the environment. </w:t>
      </w:r>
      <w:r w:rsidR="00E86F00" w:rsidRPr="00526C2A">
        <w:rPr>
          <w:rFonts w:ascii="Times New Roman" w:eastAsia="Times New Roman" w:hAnsi="Times New Roman" w:cs="Times New Roman"/>
          <w:spacing w:val="-2"/>
          <w:sz w:val="24"/>
          <w:szCs w:val="24"/>
        </w:rPr>
        <w:t xml:space="preserve">The Drought Executive Order, on the hand, was significant in the establishment of innovative development schemes that improved water management schemes </w:t>
      </w:r>
      <w:sdt>
        <w:sdtPr>
          <w:rPr>
            <w:rFonts w:ascii="Times New Roman" w:eastAsia="Times New Roman" w:hAnsi="Times New Roman" w:cs="Times New Roman"/>
            <w:spacing w:val="-2"/>
            <w:sz w:val="24"/>
            <w:szCs w:val="24"/>
          </w:rPr>
          <w:id w:val="1558389146"/>
          <w:citation/>
        </w:sdtPr>
        <w:sdtContent>
          <w:r w:rsidR="00E86F00" w:rsidRPr="00526C2A">
            <w:rPr>
              <w:rFonts w:ascii="Times New Roman" w:eastAsia="Times New Roman" w:hAnsi="Times New Roman" w:cs="Times New Roman"/>
              <w:spacing w:val="-2"/>
              <w:sz w:val="24"/>
              <w:szCs w:val="24"/>
            </w:rPr>
            <w:fldChar w:fldCharType="begin"/>
          </w:r>
          <w:r w:rsidR="00E86F00" w:rsidRPr="00526C2A">
            <w:rPr>
              <w:rFonts w:ascii="Times New Roman" w:eastAsia="Times New Roman" w:hAnsi="Times New Roman" w:cs="Times New Roman"/>
              <w:spacing w:val="-2"/>
              <w:sz w:val="24"/>
              <w:szCs w:val="24"/>
            </w:rPr>
            <w:instrText xml:space="preserve"> CITATION Lun \l 1033  </w:instrText>
          </w:r>
          <w:r w:rsidR="00E86F00" w:rsidRPr="00526C2A">
            <w:rPr>
              <w:rFonts w:ascii="Times New Roman" w:eastAsia="Times New Roman" w:hAnsi="Times New Roman" w:cs="Times New Roman"/>
              <w:spacing w:val="-2"/>
              <w:sz w:val="24"/>
              <w:szCs w:val="24"/>
            </w:rPr>
            <w:fldChar w:fldCharType="separate"/>
          </w:r>
          <w:r w:rsidR="00E86F00" w:rsidRPr="00526C2A">
            <w:rPr>
              <w:rFonts w:ascii="Times New Roman" w:eastAsia="Times New Roman" w:hAnsi="Times New Roman" w:cs="Times New Roman"/>
              <w:noProof/>
              <w:spacing w:val="-2"/>
              <w:sz w:val="24"/>
              <w:szCs w:val="24"/>
            </w:rPr>
            <w:t>(Lund, Medellin-Azuara, Durand, &amp; Stone, 2018)</w:t>
          </w:r>
          <w:r w:rsidR="00E86F00" w:rsidRPr="00526C2A">
            <w:rPr>
              <w:rFonts w:ascii="Times New Roman" w:eastAsia="Times New Roman" w:hAnsi="Times New Roman" w:cs="Times New Roman"/>
              <w:spacing w:val="-2"/>
              <w:sz w:val="24"/>
              <w:szCs w:val="24"/>
            </w:rPr>
            <w:fldChar w:fldCharType="end"/>
          </w:r>
        </w:sdtContent>
      </w:sdt>
      <w:r w:rsidR="00E86F00" w:rsidRPr="00526C2A">
        <w:rPr>
          <w:rFonts w:ascii="Times New Roman" w:eastAsia="Times New Roman" w:hAnsi="Times New Roman" w:cs="Times New Roman"/>
          <w:spacing w:val="-2"/>
          <w:sz w:val="24"/>
          <w:szCs w:val="24"/>
        </w:rPr>
        <w:t xml:space="preserve">. These development projects are critical in the future preparation for drought for California. The CEQA </w:t>
      </w:r>
      <w:r w:rsidR="00CF59DA" w:rsidRPr="00526C2A">
        <w:rPr>
          <w:rFonts w:ascii="Times New Roman" w:eastAsia="Times New Roman" w:hAnsi="Times New Roman" w:cs="Times New Roman"/>
          <w:spacing w:val="-2"/>
          <w:sz w:val="24"/>
          <w:szCs w:val="24"/>
        </w:rPr>
        <w:t>statute,</w:t>
      </w:r>
      <w:r w:rsidR="00E86F00" w:rsidRPr="00526C2A">
        <w:rPr>
          <w:rFonts w:ascii="Times New Roman" w:eastAsia="Times New Roman" w:hAnsi="Times New Roman" w:cs="Times New Roman"/>
          <w:spacing w:val="-2"/>
          <w:sz w:val="24"/>
          <w:szCs w:val="24"/>
        </w:rPr>
        <w:t xml:space="preserve"> however, had grounds to bar such innovative developments. </w:t>
      </w:r>
    </w:p>
    <w:p w:rsidR="00CF59DA" w:rsidRPr="00526C2A" w:rsidRDefault="00CF59DA" w:rsidP="00526C2A">
      <w:pPr>
        <w:spacing w:line="480" w:lineRule="auto"/>
        <w:rPr>
          <w:rFonts w:ascii="Times New Roman" w:eastAsia="Times New Roman" w:hAnsi="Times New Roman" w:cs="Times New Roman"/>
          <w:spacing w:val="-2"/>
          <w:sz w:val="24"/>
          <w:szCs w:val="24"/>
        </w:rPr>
      </w:pPr>
      <w:r w:rsidRPr="00526C2A">
        <w:rPr>
          <w:rFonts w:ascii="Times New Roman" w:eastAsia="Times New Roman" w:hAnsi="Times New Roman" w:cs="Times New Roman"/>
          <w:spacing w:val="-2"/>
          <w:sz w:val="24"/>
          <w:szCs w:val="24"/>
        </w:rPr>
        <w:br w:type="page"/>
      </w:r>
    </w:p>
    <w:sdt>
      <w:sdtPr>
        <w:rPr>
          <w:rFonts w:ascii="Times New Roman" w:hAnsi="Times New Roman" w:cs="Times New Roman"/>
          <w:color w:val="auto"/>
          <w:sz w:val="24"/>
          <w:szCs w:val="24"/>
        </w:rPr>
        <w:id w:val="1558389147"/>
        <w:docPartObj>
          <w:docPartGallery w:val="Bibliographies"/>
          <w:docPartUnique/>
        </w:docPartObj>
      </w:sdtPr>
      <w:sdtEndPr>
        <w:rPr>
          <w:rFonts w:eastAsiaTheme="minorEastAsia"/>
          <w:b w:val="0"/>
          <w:bCs w:val="0"/>
          <w:lang w:bidi="ar-SA"/>
        </w:rPr>
      </w:sdtEndPr>
      <w:sdtContent>
        <w:p w:rsidR="00CF59DA" w:rsidRPr="00526C2A" w:rsidRDefault="00CF59DA" w:rsidP="00526C2A">
          <w:pPr>
            <w:pStyle w:val="Heading1"/>
            <w:spacing w:line="480" w:lineRule="auto"/>
            <w:jc w:val="center"/>
            <w:rPr>
              <w:rFonts w:ascii="Times New Roman" w:hAnsi="Times New Roman" w:cs="Times New Roman"/>
              <w:color w:val="auto"/>
              <w:sz w:val="24"/>
              <w:szCs w:val="24"/>
            </w:rPr>
          </w:pPr>
          <w:r w:rsidRPr="00526C2A">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CF59DA" w:rsidRPr="00526C2A" w:rsidRDefault="00CF59DA" w:rsidP="00526C2A">
              <w:pPr>
                <w:pStyle w:val="Bibliography"/>
                <w:spacing w:line="480" w:lineRule="auto"/>
                <w:ind w:left="720" w:hanging="720"/>
                <w:rPr>
                  <w:rFonts w:ascii="Times New Roman" w:hAnsi="Times New Roman" w:cs="Times New Roman"/>
                  <w:noProof/>
                  <w:sz w:val="24"/>
                  <w:szCs w:val="24"/>
                </w:rPr>
              </w:pPr>
              <w:r w:rsidRPr="00526C2A">
                <w:rPr>
                  <w:rFonts w:ascii="Times New Roman" w:hAnsi="Times New Roman" w:cs="Times New Roman"/>
                  <w:sz w:val="24"/>
                  <w:szCs w:val="24"/>
                </w:rPr>
                <w:fldChar w:fldCharType="begin"/>
              </w:r>
              <w:r w:rsidRPr="00526C2A">
                <w:rPr>
                  <w:rFonts w:ascii="Times New Roman" w:hAnsi="Times New Roman" w:cs="Times New Roman"/>
                  <w:sz w:val="24"/>
                  <w:szCs w:val="24"/>
                </w:rPr>
                <w:instrText xml:space="preserve"> BIBLIOGRAPHY </w:instrText>
              </w:r>
              <w:r w:rsidRPr="00526C2A">
                <w:rPr>
                  <w:rFonts w:ascii="Times New Roman" w:hAnsi="Times New Roman" w:cs="Times New Roman"/>
                  <w:sz w:val="24"/>
                  <w:szCs w:val="24"/>
                </w:rPr>
                <w:fldChar w:fldCharType="separate"/>
              </w:r>
              <w:r w:rsidRPr="00526C2A">
                <w:rPr>
                  <w:rFonts w:ascii="Times New Roman" w:hAnsi="Times New Roman" w:cs="Times New Roman"/>
                  <w:noProof/>
                  <w:sz w:val="24"/>
                  <w:szCs w:val="24"/>
                </w:rPr>
                <w:t xml:space="preserve">Carlifornia Natural Resources Agency. (n.d.). </w:t>
              </w:r>
              <w:r w:rsidRPr="00526C2A">
                <w:rPr>
                  <w:rFonts w:ascii="Times New Roman" w:hAnsi="Times New Roman" w:cs="Times New Roman"/>
                  <w:i/>
                  <w:iCs/>
                  <w:noProof/>
                  <w:sz w:val="24"/>
                  <w:szCs w:val="24"/>
                </w:rPr>
                <w:t>Frequently Asked Questions about CEQA</w:t>
              </w:r>
              <w:r w:rsidRPr="00526C2A">
                <w:rPr>
                  <w:rFonts w:ascii="Times New Roman" w:hAnsi="Times New Roman" w:cs="Times New Roman"/>
                  <w:noProof/>
                  <w:sz w:val="24"/>
                  <w:szCs w:val="24"/>
                </w:rPr>
                <w:t>. Retrieved August 7, 2019, from Carlifornia Natural Resources Agency: http://resources.ca.gov/ceqa/more/faq.html</w:t>
              </w:r>
            </w:p>
            <w:p w:rsidR="00CF59DA" w:rsidRPr="00526C2A" w:rsidRDefault="00CF59DA" w:rsidP="00526C2A">
              <w:pPr>
                <w:pStyle w:val="Bibliography"/>
                <w:spacing w:line="480" w:lineRule="auto"/>
                <w:ind w:left="720" w:hanging="720"/>
                <w:rPr>
                  <w:rFonts w:ascii="Times New Roman" w:hAnsi="Times New Roman" w:cs="Times New Roman"/>
                  <w:noProof/>
                  <w:sz w:val="24"/>
                  <w:szCs w:val="24"/>
                </w:rPr>
              </w:pPr>
              <w:r w:rsidRPr="00526C2A">
                <w:rPr>
                  <w:rFonts w:ascii="Times New Roman" w:hAnsi="Times New Roman" w:cs="Times New Roman"/>
                  <w:noProof/>
                  <w:sz w:val="24"/>
                  <w:szCs w:val="24"/>
                </w:rPr>
                <w:t xml:space="preserve">Chiland, E., &amp; Kudler, A. G. (2018, October 10). </w:t>
              </w:r>
              <w:r w:rsidRPr="00526C2A">
                <w:rPr>
                  <w:rFonts w:ascii="Times New Roman" w:hAnsi="Times New Roman" w:cs="Times New Roman"/>
                  <w:i/>
                  <w:iCs/>
                  <w:noProof/>
                  <w:sz w:val="24"/>
                  <w:szCs w:val="24"/>
                </w:rPr>
                <w:t>A guide to CEQA: California’s environmental law that developers love to hate</w:t>
              </w:r>
              <w:r w:rsidRPr="00526C2A">
                <w:rPr>
                  <w:rFonts w:ascii="Times New Roman" w:hAnsi="Times New Roman" w:cs="Times New Roman"/>
                  <w:noProof/>
                  <w:sz w:val="24"/>
                  <w:szCs w:val="24"/>
                </w:rPr>
                <w:t>. Retrieved August 7, 2019, from Curbed Los Angeles: https://la.curbed.com/2012/2/7/10398386/ceqa-california-environmental-quality-act-law</w:t>
              </w:r>
            </w:p>
            <w:p w:rsidR="00CF59DA" w:rsidRPr="00526C2A" w:rsidRDefault="00CF59DA" w:rsidP="00526C2A">
              <w:pPr>
                <w:pStyle w:val="Bibliography"/>
                <w:spacing w:line="480" w:lineRule="auto"/>
                <w:ind w:left="720" w:hanging="720"/>
                <w:rPr>
                  <w:rFonts w:ascii="Times New Roman" w:hAnsi="Times New Roman" w:cs="Times New Roman"/>
                  <w:noProof/>
                  <w:sz w:val="24"/>
                  <w:szCs w:val="24"/>
                </w:rPr>
              </w:pPr>
              <w:r w:rsidRPr="00526C2A">
                <w:rPr>
                  <w:rFonts w:ascii="Times New Roman" w:hAnsi="Times New Roman" w:cs="Times New Roman"/>
                  <w:noProof/>
                  <w:sz w:val="24"/>
                  <w:szCs w:val="24"/>
                </w:rPr>
                <w:t xml:space="preserve">Hernandez, J. L. (2019, February 5). </w:t>
              </w:r>
              <w:r w:rsidRPr="00526C2A">
                <w:rPr>
                  <w:rFonts w:ascii="Times New Roman" w:hAnsi="Times New Roman" w:cs="Times New Roman"/>
                  <w:i/>
                  <w:iCs/>
                  <w:noProof/>
                  <w:sz w:val="24"/>
                  <w:szCs w:val="24"/>
                </w:rPr>
                <w:t>Jennifer Hernandez – A Look Into CEQA and Land Use Development</w:t>
              </w:r>
              <w:r w:rsidRPr="00526C2A">
                <w:rPr>
                  <w:rFonts w:ascii="Times New Roman" w:hAnsi="Times New Roman" w:cs="Times New Roman"/>
                  <w:noProof/>
                  <w:sz w:val="24"/>
                  <w:szCs w:val="24"/>
                </w:rPr>
                <w:t>. Retrieved August 7, 2019, from Law for Business: http://lawforbusiness.usc.edu/jennifer-hernandez-a-look-into-ceqa-and-land-use-development/</w:t>
              </w:r>
            </w:p>
            <w:p w:rsidR="00CF59DA" w:rsidRPr="00526C2A" w:rsidRDefault="00CF59DA" w:rsidP="00526C2A">
              <w:pPr>
                <w:pStyle w:val="Bibliography"/>
                <w:spacing w:line="480" w:lineRule="auto"/>
                <w:ind w:left="720" w:hanging="720"/>
                <w:rPr>
                  <w:rFonts w:ascii="Times New Roman" w:hAnsi="Times New Roman" w:cs="Times New Roman"/>
                  <w:noProof/>
                  <w:sz w:val="24"/>
                  <w:szCs w:val="24"/>
                </w:rPr>
              </w:pPr>
              <w:r w:rsidRPr="00526C2A">
                <w:rPr>
                  <w:rFonts w:ascii="Times New Roman" w:hAnsi="Times New Roman" w:cs="Times New Roman"/>
                  <w:noProof/>
                  <w:sz w:val="24"/>
                  <w:szCs w:val="24"/>
                </w:rPr>
                <w:t xml:space="preserve">Lund, J., Medellin-Azuara, J., Durand, J., &amp; Stone, K. (2018). Lessons from California’s 2012–2016 Drought. </w:t>
              </w:r>
              <w:r w:rsidRPr="00526C2A">
                <w:rPr>
                  <w:rFonts w:ascii="Times New Roman" w:hAnsi="Times New Roman" w:cs="Times New Roman"/>
                  <w:i/>
                  <w:iCs/>
                  <w:noProof/>
                  <w:sz w:val="24"/>
                  <w:szCs w:val="24"/>
                </w:rPr>
                <w:t>Journal of Water Resources Planning and Management</w:t>
              </w:r>
              <w:r w:rsidRPr="00526C2A">
                <w:rPr>
                  <w:rFonts w:ascii="Times New Roman" w:hAnsi="Times New Roman" w:cs="Times New Roman"/>
                  <w:noProof/>
                  <w:sz w:val="24"/>
                  <w:szCs w:val="24"/>
                </w:rPr>
                <w:t xml:space="preserve"> </w:t>
              </w:r>
              <w:r w:rsidRPr="00526C2A">
                <w:rPr>
                  <w:rFonts w:ascii="Times New Roman" w:hAnsi="Times New Roman" w:cs="Times New Roman"/>
                  <w:i/>
                  <w:iCs/>
                  <w:noProof/>
                  <w:sz w:val="24"/>
                  <w:szCs w:val="24"/>
                </w:rPr>
                <w:t>, 144</w:t>
              </w:r>
              <w:r w:rsidRPr="00526C2A">
                <w:rPr>
                  <w:rFonts w:ascii="Times New Roman" w:hAnsi="Times New Roman" w:cs="Times New Roman"/>
                  <w:noProof/>
                  <w:sz w:val="24"/>
                  <w:szCs w:val="24"/>
                </w:rPr>
                <w:t xml:space="preserve"> (10).</w:t>
              </w:r>
            </w:p>
            <w:p w:rsidR="00CF59DA" w:rsidRPr="00526C2A" w:rsidRDefault="00CF59DA" w:rsidP="00526C2A">
              <w:pPr>
                <w:pStyle w:val="Bibliography"/>
                <w:spacing w:line="480" w:lineRule="auto"/>
                <w:ind w:left="720" w:hanging="720"/>
                <w:rPr>
                  <w:rFonts w:ascii="Times New Roman" w:hAnsi="Times New Roman" w:cs="Times New Roman"/>
                  <w:noProof/>
                  <w:sz w:val="24"/>
                  <w:szCs w:val="24"/>
                </w:rPr>
              </w:pPr>
              <w:r w:rsidRPr="00526C2A">
                <w:rPr>
                  <w:rFonts w:ascii="Times New Roman" w:hAnsi="Times New Roman" w:cs="Times New Roman"/>
                  <w:noProof/>
                  <w:sz w:val="24"/>
                  <w:szCs w:val="24"/>
                </w:rPr>
                <w:t xml:space="preserve">Nagourney, A. (2015, April 1). </w:t>
              </w:r>
              <w:r w:rsidRPr="00526C2A">
                <w:rPr>
                  <w:rFonts w:ascii="Times New Roman" w:hAnsi="Times New Roman" w:cs="Times New Roman"/>
                  <w:i/>
                  <w:iCs/>
                  <w:noProof/>
                  <w:sz w:val="24"/>
                  <w:szCs w:val="24"/>
                </w:rPr>
                <w:t>California Imposes First Mandatory Water Restrictions to Deal With Drought</w:t>
              </w:r>
              <w:r w:rsidRPr="00526C2A">
                <w:rPr>
                  <w:rFonts w:ascii="Times New Roman" w:hAnsi="Times New Roman" w:cs="Times New Roman"/>
                  <w:noProof/>
                  <w:sz w:val="24"/>
                  <w:szCs w:val="24"/>
                </w:rPr>
                <w:t>. Retrieved August 7, 2019, from The New York Tmes: https://www.nytimes.com/2015/04/02/us/california-imposes-first-ever-water-restrictions-to-deal-with-drought.html</w:t>
              </w:r>
            </w:p>
            <w:p w:rsidR="00CF59DA" w:rsidRPr="00526C2A" w:rsidRDefault="00CF59DA" w:rsidP="00526C2A">
              <w:pPr>
                <w:pStyle w:val="Bibliography"/>
                <w:spacing w:line="480" w:lineRule="auto"/>
                <w:ind w:left="720" w:hanging="720"/>
                <w:rPr>
                  <w:rFonts w:ascii="Times New Roman" w:hAnsi="Times New Roman" w:cs="Times New Roman"/>
                  <w:noProof/>
                  <w:sz w:val="24"/>
                  <w:szCs w:val="24"/>
                </w:rPr>
              </w:pPr>
              <w:r w:rsidRPr="00526C2A">
                <w:rPr>
                  <w:rFonts w:ascii="Times New Roman" w:hAnsi="Times New Roman" w:cs="Times New Roman"/>
                  <w:noProof/>
                  <w:sz w:val="24"/>
                  <w:szCs w:val="24"/>
                </w:rPr>
                <w:t xml:space="preserve">Volker, J. M., Lee, A. E., &amp; Fitch, D. T. (2019). Streamlining the Development Approval Process in a Post–Level of Service Los Angeles. </w:t>
              </w:r>
              <w:r w:rsidRPr="00526C2A">
                <w:rPr>
                  <w:rFonts w:ascii="Times New Roman" w:hAnsi="Times New Roman" w:cs="Times New Roman"/>
                  <w:i/>
                  <w:iCs/>
                  <w:noProof/>
                  <w:sz w:val="24"/>
                  <w:szCs w:val="24"/>
                </w:rPr>
                <w:t>Journal of the American Planning Association</w:t>
              </w:r>
              <w:r w:rsidRPr="00526C2A">
                <w:rPr>
                  <w:rFonts w:ascii="Times New Roman" w:hAnsi="Times New Roman" w:cs="Times New Roman"/>
                  <w:noProof/>
                  <w:sz w:val="24"/>
                  <w:szCs w:val="24"/>
                </w:rPr>
                <w:t xml:space="preserve"> </w:t>
              </w:r>
              <w:r w:rsidRPr="00526C2A">
                <w:rPr>
                  <w:rFonts w:ascii="Times New Roman" w:hAnsi="Times New Roman" w:cs="Times New Roman"/>
                  <w:i/>
                  <w:iCs/>
                  <w:noProof/>
                  <w:sz w:val="24"/>
                  <w:szCs w:val="24"/>
                </w:rPr>
                <w:t>, 85</w:t>
              </w:r>
              <w:r w:rsidRPr="00526C2A">
                <w:rPr>
                  <w:rFonts w:ascii="Times New Roman" w:hAnsi="Times New Roman" w:cs="Times New Roman"/>
                  <w:noProof/>
                  <w:sz w:val="24"/>
                  <w:szCs w:val="24"/>
                </w:rPr>
                <w:t>, 114-132.</w:t>
              </w:r>
            </w:p>
            <w:p w:rsidR="00CF59DA" w:rsidRPr="00526C2A" w:rsidRDefault="00CF59DA" w:rsidP="00526C2A">
              <w:pPr>
                <w:spacing w:line="480" w:lineRule="auto"/>
                <w:ind w:left="720" w:hanging="720"/>
                <w:rPr>
                  <w:rFonts w:ascii="Times New Roman" w:hAnsi="Times New Roman" w:cs="Times New Roman"/>
                  <w:sz w:val="24"/>
                  <w:szCs w:val="24"/>
                </w:rPr>
              </w:pPr>
              <w:r w:rsidRPr="00526C2A">
                <w:rPr>
                  <w:rFonts w:ascii="Times New Roman" w:hAnsi="Times New Roman" w:cs="Times New Roman"/>
                  <w:sz w:val="24"/>
                  <w:szCs w:val="24"/>
                </w:rPr>
                <w:fldChar w:fldCharType="end"/>
              </w:r>
            </w:p>
          </w:sdtContent>
        </w:sdt>
      </w:sdtContent>
    </w:sdt>
    <w:p w:rsidR="00CB5DB2" w:rsidRPr="00526C2A" w:rsidRDefault="00CB5DB2" w:rsidP="00526C2A">
      <w:pPr>
        <w:shd w:val="clear" w:color="auto" w:fill="FFFFFF"/>
        <w:spacing w:after="0" w:line="480" w:lineRule="auto"/>
        <w:ind w:firstLine="720"/>
        <w:rPr>
          <w:rFonts w:ascii="Times New Roman" w:eastAsia="Times New Roman" w:hAnsi="Times New Roman" w:cs="Times New Roman"/>
          <w:spacing w:val="-2"/>
          <w:sz w:val="24"/>
          <w:szCs w:val="24"/>
        </w:rPr>
      </w:pPr>
    </w:p>
    <w:sectPr w:rsidR="00CB5DB2" w:rsidRPr="00526C2A" w:rsidSect="00CF59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5DB2" w:rsidRDefault="00CB5DB2" w:rsidP="00CF59DA">
      <w:pPr>
        <w:spacing w:after="0" w:line="240" w:lineRule="auto"/>
      </w:pPr>
      <w:r>
        <w:separator/>
      </w:r>
    </w:p>
  </w:endnote>
  <w:endnote w:type="continuationSeparator" w:id="1">
    <w:p w:rsidR="00CB5DB2" w:rsidRDefault="00CB5DB2" w:rsidP="00CF59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5DB2" w:rsidRDefault="00CB5DB2" w:rsidP="00CF59DA">
      <w:pPr>
        <w:spacing w:after="0" w:line="240" w:lineRule="auto"/>
      </w:pPr>
      <w:r>
        <w:separator/>
      </w:r>
    </w:p>
  </w:footnote>
  <w:footnote w:type="continuationSeparator" w:id="1">
    <w:p w:rsidR="00CB5DB2" w:rsidRDefault="00CB5DB2" w:rsidP="00CF59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9DA" w:rsidRPr="00CF59DA" w:rsidRDefault="00CF59DA">
    <w:pPr>
      <w:pStyle w:val="Header"/>
      <w:jc w:val="right"/>
      <w:rPr>
        <w:rFonts w:ascii="Times New Roman" w:hAnsi="Times New Roman" w:cs="Times New Roman"/>
        <w:sz w:val="24"/>
      </w:rPr>
    </w:pPr>
    <w:r w:rsidRPr="00CF59DA">
      <w:rPr>
        <w:rFonts w:ascii="Times New Roman" w:hAnsi="Times New Roman" w:cs="Times New Roman"/>
        <w:sz w:val="24"/>
      </w:rPr>
      <w:t>THE CALIFORNIA ENVIRON</w:t>
    </w:r>
    <w:r w:rsidR="00526C2A">
      <w:rPr>
        <w:rFonts w:ascii="Times New Roman" w:hAnsi="Times New Roman" w:cs="Times New Roman"/>
        <w:sz w:val="24"/>
      </w:rPr>
      <w:t>M</w:t>
    </w:r>
    <w:r w:rsidRPr="00CF59DA">
      <w:rPr>
        <w:rFonts w:ascii="Times New Roman" w:hAnsi="Times New Roman" w:cs="Times New Roman"/>
        <w:sz w:val="24"/>
      </w:rPr>
      <w:t>ENTAL QUALITY ACT</w:t>
    </w:r>
    <w:r w:rsidRPr="00CF59DA">
      <w:rPr>
        <w:rFonts w:ascii="Times New Roman" w:hAnsi="Times New Roman" w:cs="Times New Roman"/>
        <w:sz w:val="24"/>
      </w:rPr>
      <w:tab/>
    </w:r>
    <w:sdt>
      <w:sdtPr>
        <w:rPr>
          <w:rFonts w:ascii="Times New Roman" w:hAnsi="Times New Roman" w:cs="Times New Roman"/>
          <w:sz w:val="24"/>
        </w:rPr>
        <w:id w:val="1558389154"/>
        <w:docPartObj>
          <w:docPartGallery w:val="Page Numbers (Top of Page)"/>
          <w:docPartUnique/>
        </w:docPartObj>
      </w:sdtPr>
      <w:sdtContent>
        <w:r w:rsidRPr="00CF59DA">
          <w:rPr>
            <w:rFonts w:ascii="Times New Roman" w:hAnsi="Times New Roman" w:cs="Times New Roman"/>
            <w:sz w:val="24"/>
          </w:rPr>
          <w:fldChar w:fldCharType="begin"/>
        </w:r>
        <w:r w:rsidRPr="00CF59DA">
          <w:rPr>
            <w:rFonts w:ascii="Times New Roman" w:hAnsi="Times New Roman" w:cs="Times New Roman"/>
            <w:sz w:val="24"/>
          </w:rPr>
          <w:instrText xml:space="preserve"> PAGE   \* MERGEFORMAT </w:instrText>
        </w:r>
        <w:r w:rsidRPr="00CF59DA">
          <w:rPr>
            <w:rFonts w:ascii="Times New Roman" w:hAnsi="Times New Roman" w:cs="Times New Roman"/>
            <w:sz w:val="24"/>
          </w:rPr>
          <w:fldChar w:fldCharType="separate"/>
        </w:r>
        <w:r w:rsidR="00526C2A">
          <w:rPr>
            <w:rFonts w:ascii="Times New Roman" w:hAnsi="Times New Roman" w:cs="Times New Roman"/>
            <w:noProof/>
            <w:sz w:val="24"/>
          </w:rPr>
          <w:t>3</w:t>
        </w:r>
        <w:r w:rsidRPr="00CF59DA">
          <w:rPr>
            <w:rFonts w:ascii="Times New Roman" w:hAnsi="Times New Roman" w:cs="Times New Roman"/>
            <w:sz w:val="24"/>
          </w:rPr>
          <w:fldChar w:fldCharType="end"/>
        </w:r>
      </w:sdtContent>
    </w:sdt>
  </w:p>
  <w:p w:rsidR="00CF59DA" w:rsidRPr="00CF59DA" w:rsidRDefault="00CF59DA">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9DA" w:rsidRPr="00CF59DA" w:rsidRDefault="00CF59DA">
    <w:pPr>
      <w:pStyle w:val="Header"/>
      <w:jc w:val="right"/>
      <w:rPr>
        <w:rFonts w:ascii="Times New Roman" w:hAnsi="Times New Roman" w:cs="Times New Roman"/>
        <w:sz w:val="24"/>
        <w:szCs w:val="24"/>
      </w:rPr>
    </w:pPr>
    <w:r w:rsidRPr="00CF59DA">
      <w:rPr>
        <w:rFonts w:ascii="Times New Roman" w:hAnsi="Times New Roman" w:cs="Times New Roman"/>
        <w:sz w:val="24"/>
        <w:szCs w:val="24"/>
      </w:rPr>
      <w:t>Running Head: THE CALIFORNIA ENVIRON</w:t>
    </w:r>
    <w:r w:rsidR="00526C2A">
      <w:rPr>
        <w:rFonts w:ascii="Times New Roman" w:hAnsi="Times New Roman" w:cs="Times New Roman"/>
        <w:sz w:val="24"/>
        <w:szCs w:val="24"/>
      </w:rPr>
      <w:t>M</w:t>
    </w:r>
    <w:r w:rsidRPr="00CF59DA">
      <w:rPr>
        <w:rFonts w:ascii="Times New Roman" w:hAnsi="Times New Roman" w:cs="Times New Roman"/>
        <w:sz w:val="24"/>
        <w:szCs w:val="24"/>
      </w:rPr>
      <w:t xml:space="preserve">ENTAL QUALITY ACT </w:t>
    </w:r>
    <w:r w:rsidRPr="00CF59DA">
      <w:rPr>
        <w:rFonts w:ascii="Times New Roman" w:hAnsi="Times New Roman" w:cs="Times New Roman"/>
        <w:sz w:val="24"/>
        <w:szCs w:val="24"/>
      </w:rPr>
      <w:tab/>
    </w:r>
    <w:sdt>
      <w:sdtPr>
        <w:rPr>
          <w:rFonts w:ascii="Times New Roman" w:hAnsi="Times New Roman" w:cs="Times New Roman"/>
          <w:sz w:val="24"/>
          <w:szCs w:val="24"/>
        </w:rPr>
        <w:id w:val="1558389206"/>
        <w:docPartObj>
          <w:docPartGallery w:val="Page Numbers (Top of Page)"/>
          <w:docPartUnique/>
        </w:docPartObj>
      </w:sdtPr>
      <w:sdtContent>
        <w:r w:rsidRPr="00CF59DA">
          <w:rPr>
            <w:rFonts w:ascii="Times New Roman" w:hAnsi="Times New Roman" w:cs="Times New Roman"/>
            <w:sz w:val="24"/>
            <w:szCs w:val="24"/>
          </w:rPr>
          <w:fldChar w:fldCharType="begin"/>
        </w:r>
        <w:r w:rsidRPr="00CF59DA">
          <w:rPr>
            <w:rFonts w:ascii="Times New Roman" w:hAnsi="Times New Roman" w:cs="Times New Roman"/>
            <w:sz w:val="24"/>
            <w:szCs w:val="24"/>
          </w:rPr>
          <w:instrText xml:space="preserve"> PAGE   \* MERGEFORMAT </w:instrText>
        </w:r>
        <w:r w:rsidRPr="00CF59DA">
          <w:rPr>
            <w:rFonts w:ascii="Times New Roman" w:hAnsi="Times New Roman" w:cs="Times New Roman"/>
            <w:sz w:val="24"/>
            <w:szCs w:val="24"/>
          </w:rPr>
          <w:fldChar w:fldCharType="separate"/>
        </w:r>
        <w:r w:rsidR="00526C2A">
          <w:rPr>
            <w:rFonts w:ascii="Times New Roman" w:hAnsi="Times New Roman" w:cs="Times New Roman"/>
            <w:noProof/>
            <w:sz w:val="24"/>
            <w:szCs w:val="24"/>
          </w:rPr>
          <w:t>1</w:t>
        </w:r>
        <w:r w:rsidRPr="00CF59DA">
          <w:rPr>
            <w:rFonts w:ascii="Times New Roman" w:hAnsi="Times New Roman" w:cs="Times New Roman"/>
            <w:sz w:val="24"/>
            <w:szCs w:val="24"/>
          </w:rPr>
          <w:fldChar w:fldCharType="end"/>
        </w:r>
      </w:sdtContent>
    </w:sdt>
  </w:p>
  <w:p w:rsidR="00CF59DA" w:rsidRPr="00CF59DA" w:rsidRDefault="00CF59D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E4321"/>
    <w:rsid w:val="001E4321"/>
    <w:rsid w:val="0033131C"/>
    <w:rsid w:val="004E2E05"/>
    <w:rsid w:val="00526C2A"/>
    <w:rsid w:val="006A4830"/>
    <w:rsid w:val="00AB6F68"/>
    <w:rsid w:val="00BF3C58"/>
    <w:rsid w:val="00CB5DB2"/>
    <w:rsid w:val="00CD550B"/>
    <w:rsid w:val="00CF59DA"/>
    <w:rsid w:val="00E86F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59D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1E4321"/>
  </w:style>
  <w:style w:type="paragraph" w:styleId="BalloonText">
    <w:name w:val="Balloon Text"/>
    <w:basedOn w:val="Normal"/>
    <w:link w:val="BalloonTextChar"/>
    <w:uiPriority w:val="99"/>
    <w:semiHidden/>
    <w:unhideWhenUsed/>
    <w:rsid w:val="00331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31C"/>
    <w:rPr>
      <w:rFonts w:ascii="Tahoma" w:hAnsi="Tahoma" w:cs="Tahoma"/>
      <w:sz w:val="16"/>
      <w:szCs w:val="16"/>
    </w:rPr>
  </w:style>
  <w:style w:type="character" w:customStyle="1" w:styleId="Heading1Char">
    <w:name w:val="Heading 1 Char"/>
    <w:basedOn w:val="DefaultParagraphFont"/>
    <w:link w:val="Heading1"/>
    <w:uiPriority w:val="9"/>
    <w:rsid w:val="00CF59D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F59DA"/>
  </w:style>
  <w:style w:type="paragraph" w:styleId="Header">
    <w:name w:val="header"/>
    <w:basedOn w:val="Normal"/>
    <w:link w:val="HeaderChar"/>
    <w:uiPriority w:val="99"/>
    <w:unhideWhenUsed/>
    <w:rsid w:val="00CF5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9DA"/>
  </w:style>
  <w:style w:type="paragraph" w:styleId="Footer">
    <w:name w:val="footer"/>
    <w:basedOn w:val="Normal"/>
    <w:link w:val="FooterChar"/>
    <w:uiPriority w:val="99"/>
    <w:semiHidden/>
    <w:unhideWhenUsed/>
    <w:rsid w:val="00CF59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F59DA"/>
  </w:style>
</w:styles>
</file>

<file path=word/webSettings.xml><?xml version="1.0" encoding="utf-8"?>
<w:webSettings xmlns:r="http://schemas.openxmlformats.org/officeDocument/2006/relationships" xmlns:w="http://schemas.openxmlformats.org/wordprocessingml/2006/main">
  <w:divs>
    <w:div w:id="302462845">
      <w:bodyDiv w:val="1"/>
      <w:marLeft w:val="0"/>
      <w:marRight w:val="0"/>
      <w:marTop w:val="0"/>
      <w:marBottom w:val="0"/>
      <w:divBdr>
        <w:top w:val="none" w:sz="0" w:space="0" w:color="auto"/>
        <w:left w:val="none" w:sz="0" w:space="0" w:color="auto"/>
        <w:bottom w:val="none" w:sz="0" w:space="0" w:color="auto"/>
        <w:right w:val="none" w:sz="0" w:space="0" w:color="auto"/>
      </w:divBdr>
      <w:divsChild>
        <w:div w:id="610743880">
          <w:marLeft w:val="0"/>
          <w:marRight w:val="0"/>
          <w:marTop w:val="0"/>
          <w:marBottom w:val="0"/>
          <w:divBdr>
            <w:top w:val="none" w:sz="0" w:space="0" w:color="auto"/>
            <w:left w:val="none" w:sz="0" w:space="0" w:color="auto"/>
            <w:bottom w:val="none" w:sz="0" w:space="0" w:color="auto"/>
            <w:right w:val="none" w:sz="0" w:space="0" w:color="auto"/>
          </w:divBdr>
        </w:div>
      </w:divsChild>
    </w:div>
    <w:div w:id="765885886">
      <w:bodyDiv w:val="1"/>
      <w:marLeft w:val="0"/>
      <w:marRight w:val="0"/>
      <w:marTop w:val="0"/>
      <w:marBottom w:val="0"/>
      <w:divBdr>
        <w:top w:val="none" w:sz="0" w:space="0" w:color="auto"/>
        <w:left w:val="none" w:sz="0" w:space="0" w:color="auto"/>
        <w:bottom w:val="none" w:sz="0" w:space="0" w:color="auto"/>
        <w:right w:val="none" w:sz="0" w:space="0" w:color="auto"/>
      </w:divBdr>
      <w:divsChild>
        <w:div w:id="1309241627">
          <w:marLeft w:val="0"/>
          <w:marRight w:val="0"/>
          <w:marTop w:val="0"/>
          <w:marBottom w:val="0"/>
          <w:divBdr>
            <w:top w:val="none" w:sz="0" w:space="0" w:color="auto"/>
            <w:left w:val="none" w:sz="0" w:space="0" w:color="auto"/>
            <w:bottom w:val="none" w:sz="0" w:space="0" w:color="auto"/>
            <w:right w:val="none" w:sz="0" w:space="0" w:color="auto"/>
          </w:divBdr>
        </w:div>
        <w:div w:id="1082677662">
          <w:marLeft w:val="0"/>
          <w:marRight w:val="0"/>
          <w:marTop w:val="0"/>
          <w:marBottom w:val="225"/>
          <w:divBdr>
            <w:top w:val="none" w:sz="0" w:space="0" w:color="auto"/>
            <w:left w:val="none" w:sz="0" w:space="0" w:color="auto"/>
            <w:bottom w:val="none" w:sz="0" w:space="0" w:color="auto"/>
            <w:right w:val="none" w:sz="0" w:space="0" w:color="auto"/>
          </w:divBdr>
        </w:div>
      </w:divsChild>
    </w:div>
    <w:div w:id="996762344">
      <w:bodyDiv w:val="1"/>
      <w:marLeft w:val="0"/>
      <w:marRight w:val="0"/>
      <w:marTop w:val="0"/>
      <w:marBottom w:val="0"/>
      <w:divBdr>
        <w:top w:val="none" w:sz="0" w:space="0" w:color="auto"/>
        <w:left w:val="none" w:sz="0" w:space="0" w:color="auto"/>
        <w:bottom w:val="none" w:sz="0" w:space="0" w:color="auto"/>
        <w:right w:val="none" w:sz="0" w:space="0" w:color="auto"/>
      </w:divBdr>
      <w:divsChild>
        <w:div w:id="874931522">
          <w:marLeft w:val="0"/>
          <w:marRight w:val="0"/>
          <w:marTop w:val="0"/>
          <w:marBottom w:val="0"/>
          <w:divBdr>
            <w:top w:val="none" w:sz="0" w:space="0" w:color="auto"/>
            <w:left w:val="none" w:sz="0" w:space="0" w:color="auto"/>
            <w:bottom w:val="none" w:sz="0" w:space="0" w:color="auto"/>
            <w:right w:val="none" w:sz="0" w:space="0" w:color="auto"/>
          </w:divBdr>
        </w:div>
      </w:divsChild>
    </w:div>
    <w:div w:id="1980917671">
      <w:bodyDiv w:val="1"/>
      <w:marLeft w:val="0"/>
      <w:marRight w:val="0"/>
      <w:marTop w:val="0"/>
      <w:marBottom w:val="0"/>
      <w:divBdr>
        <w:top w:val="none" w:sz="0" w:space="0" w:color="auto"/>
        <w:left w:val="none" w:sz="0" w:space="0" w:color="auto"/>
        <w:bottom w:val="none" w:sz="0" w:space="0" w:color="auto"/>
        <w:right w:val="none" w:sz="0" w:space="0" w:color="auto"/>
      </w:divBdr>
      <w:divsChild>
        <w:div w:id="1852835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Car19</b:Tag>
    <b:SourceType>InternetSite</b:SourceType>
    <b:Guid>{D4A3008E-BB4E-4566-8CB3-02BD8998AA60}</b:Guid>
    <b:LCID>0</b:LCID>
    <b:Author>
      <b:Author>
        <b:Corporate>Carlifornia Natural Resources Agency</b:Corporate>
      </b:Author>
    </b:Author>
    <b:Title>Frequently Asked Questions about CEQA</b:Title>
    <b:InternetSiteTitle>Carlifornia Natural Resources Agency</b:InternetSiteTitle>
    <b:YearAccessed>2019</b:YearAccessed>
    <b:MonthAccessed>August</b:MonthAccessed>
    <b:DayAccessed>7</b:DayAccessed>
    <b:URL>http://resources.ca.gov/ceqa/more/faq.html</b:URL>
    <b:RefOrder>1</b:RefOrder>
  </b:Source>
  <b:Source>
    <b:Tag>Chi18</b:Tag>
    <b:SourceType>InternetSite</b:SourceType>
    <b:Guid>{0968A267-BDB6-4D9A-8D1E-C70BA8A190FB}</b:Guid>
    <b:LCID>0</b:LCID>
    <b:Author>
      <b:Author>
        <b:NameList>
          <b:Person>
            <b:Last>Chiland</b:Last>
            <b:First>Elijah</b:First>
          </b:Person>
          <b:Person>
            <b:Last>Kudler</b:Last>
            <b:First>Adrian</b:First>
            <b:Middle>Glick</b:Middle>
          </b:Person>
        </b:NameList>
      </b:Author>
    </b:Author>
    <b:Title>A guide to CEQA: California’s environmental law that developers love to hate</b:Title>
    <b:InternetSiteTitle>Curbed Los Angeles</b:InternetSiteTitle>
    <b:Year>2018</b:Year>
    <b:Month>October </b:Month>
    <b:Day>10</b:Day>
    <b:YearAccessed>2019</b:YearAccessed>
    <b:MonthAccessed>August</b:MonthAccessed>
    <b:DayAccessed>7</b:DayAccessed>
    <b:URL>https://la.curbed.com/2012/2/7/10398386/ceqa-california-environmental-quality-act-law</b:URL>
    <b:RefOrder>3</b:RefOrder>
  </b:Source>
  <b:Source>
    <b:Tag>Her19</b:Tag>
    <b:SourceType>InternetSite</b:SourceType>
    <b:Guid>{A84A45CD-82B5-4A46-8817-814CED75DDBC}</b:Guid>
    <b:LCID>0</b:LCID>
    <b:Author>
      <b:Author>
        <b:NameList>
          <b:Person>
            <b:Last>Hernandez</b:Last>
            <b:First>Jennifer</b:First>
            <b:Middle>L.</b:Middle>
          </b:Person>
        </b:NameList>
      </b:Author>
    </b:Author>
    <b:Title>Jennifer Hernandez – A Look Into CEQA and Land Use Development</b:Title>
    <b:InternetSiteTitle>Law for Business</b:InternetSiteTitle>
    <b:Year>2019</b:Year>
    <b:Month>February</b:Month>
    <b:Day>5</b:Day>
    <b:YearAccessed>2019</b:YearAccessed>
    <b:MonthAccessed>August</b:MonthAccessed>
    <b:DayAccessed>7</b:DayAccessed>
    <b:URL>http://lawforbusiness.usc.edu/jennifer-hernandez-a-look-into-ceqa-and-land-use-development/</b:URL>
    <b:RefOrder>4</b:RefOrder>
  </b:Source>
  <b:Source>
    <b:Tag>Vol19</b:Tag>
    <b:SourceType>JournalArticle</b:SourceType>
    <b:Guid>{CDB11AC2-08B2-4A0A-A363-B2A3C2793CDE}</b:Guid>
    <b:LCID>0</b:LCID>
    <b:Author>
      <b:Author>
        <b:NameList>
          <b:Person>
            <b:Last>Volker</b:Last>
            <b:First>Jamey</b:First>
            <b:Middle>M. B.</b:Middle>
          </b:Person>
          <b:Person>
            <b:Last>Lee</b:Last>
            <b:First>Amy</b:First>
            <b:Middle>E.</b:Middle>
          </b:Person>
          <b:Person>
            <b:Last>Fitch</b:Last>
            <b:First>Dillon</b:First>
            <b:Middle>T.</b:Middle>
          </b:Person>
        </b:NameList>
      </b:Author>
    </b:Author>
    <b:Title>Streamlining the Development Approval Process in a Post–Level of Service Los Angeles</b:Title>
    <b:Year>2019</b:Year>
    <b:Month>June</b:Month>
    <b:Day>4</b:Day>
    <b:JournalName>Journal of the American Planning Association</b:JournalName>
    <b:Pages>114-132</b:Pages>
    <b:Volume>85</b:Volume>
    <b:StandardNumber>https://doi.org/10.1080/01944363.2019.1601587</b:StandardNumber>
    <b:RefOrder>2</b:RefOrder>
  </b:Source>
  <b:Source>
    <b:Tag>Nag15</b:Tag>
    <b:SourceType>InternetSite</b:SourceType>
    <b:Guid>{26CCF0B9-FD71-46F8-9268-3F9357CC599D}</b:Guid>
    <b:LCID>0</b:LCID>
    <b:Author>
      <b:Author>
        <b:NameList>
          <b:Person>
            <b:Last>Nagourney</b:Last>
            <b:First>Adam</b:First>
          </b:Person>
        </b:NameList>
      </b:Author>
    </b:Author>
    <b:Title>California Imposes First Mandatory Water Restrictions to Deal With Drought</b:Title>
    <b:Year>2015</b:Year>
    <b:InternetSiteTitle>The New York Tmes</b:InternetSiteTitle>
    <b:Month>April</b:Month>
    <b:Day>1</b:Day>
    <b:YearAccessed>2019</b:YearAccessed>
    <b:MonthAccessed>August</b:MonthAccessed>
    <b:DayAccessed>7</b:DayAccessed>
    <b:URL>https://www.nytimes.com/2015/04/02/us/california-imposes-first-ever-water-restrictions-to-deal-with-drought.html</b:URL>
    <b:RefOrder>5</b:RefOrder>
  </b:Source>
  <b:Source>
    <b:Tag>Lun</b:Tag>
    <b:SourceType>JournalArticle</b:SourceType>
    <b:Guid>{3FBBD040-8750-421E-88AB-889E09CF0FB6}</b:Guid>
    <b:LCID>0</b:LCID>
    <b:Author>
      <b:Author>
        <b:NameList>
          <b:Person>
            <b:Last>Lund</b:Last>
            <b:First>Jay</b:First>
          </b:Person>
          <b:Person>
            <b:Last>Medellin-Azuara</b:Last>
            <b:First>Josue</b:First>
          </b:Person>
          <b:Person>
            <b:Last>Durand</b:Last>
            <b:First>John</b:First>
          </b:Person>
          <b:Person>
            <b:Last>Stone</b:Last>
            <b:First>Kathleen</b:First>
          </b:Person>
        </b:NameList>
      </b:Author>
    </b:Author>
    <b:Title>Lessons from California’s 2012–2016 Drought</b:Title>
    <b:JournalName>Journal of Water Resources Planning and Management</b:JournalName>
    <b:Year>2018</b:Year>
    <b:Month>October</b:Month>
    <b:Volume>144</b:Volume>
    <b:Issue>10</b:Issue>
    <b:RefOrder>6</b:RefOrder>
  </b:Source>
</b:Sources>
</file>

<file path=customXml/itemProps1.xml><?xml version="1.0" encoding="utf-8"?>
<ds:datastoreItem xmlns:ds="http://schemas.openxmlformats.org/officeDocument/2006/customXml" ds:itemID="{FF8E2177-BD94-4E2B-B2B4-DDF1A08AF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2019-08-07T05:52:00Z</dcterms:created>
  <dcterms:modified xsi:type="dcterms:W3CDTF">2019-08-07T08:16:00Z</dcterms:modified>
</cp:coreProperties>
</file>